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197202FA" w14:textId="0575AADF" w:rsidR="003C06C9" w:rsidRPr="008D108A" w:rsidRDefault="008D108A" w:rsidP="00184E4F">
      <w:pPr>
        <w:pStyle w:val="BALIK"/>
        <w:spacing w:line="360" w:lineRule="auto"/>
      </w:pPr>
      <w:r w:rsidRPr="0069180B">
        <w:t>AMAÇ</w:t>
      </w:r>
    </w:p>
    <w:p w14:paraId="1484F286" w14:textId="0643AFD7" w:rsidR="003C06C9" w:rsidRPr="008D108A" w:rsidRDefault="003C06C9" w:rsidP="00184E4F">
      <w:pPr>
        <w:pStyle w:val="DZYAZI"/>
        <w:spacing w:line="360" w:lineRule="auto"/>
      </w:pPr>
      <w:r w:rsidRPr="0069180B">
        <w:rPr>
          <w:b/>
        </w:rPr>
        <w:t xml:space="preserve">T.C. Sağlık Bakanlığı </w:t>
      </w:r>
      <w:r w:rsidR="00BD6A92">
        <w:rPr>
          <w:b/>
        </w:rPr>
        <w:t>Burdur</w:t>
      </w:r>
      <w:r>
        <w:rPr>
          <w:b/>
        </w:rPr>
        <w:t xml:space="preserve"> İl Sağlık Müdürlüğü </w:t>
      </w:r>
      <w:r w:rsidRPr="0069180B">
        <w:t xml:space="preserve">ve bağlı sağlık tesisleri bünyesinde bilgi kaynakları ve atık imha yönetiminin nasıl yönetileceğini ifade eder. </w:t>
      </w:r>
    </w:p>
    <w:p w14:paraId="5B951EE5" w14:textId="1B153BA3" w:rsidR="003C06C9" w:rsidRPr="008D108A" w:rsidRDefault="003D4468" w:rsidP="00184E4F">
      <w:pPr>
        <w:pStyle w:val="BALIK"/>
        <w:spacing w:line="360" w:lineRule="auto"/>
      </w:pPr>
      <w:r>
        <w:t>KAPSAM</w:t>
      </w:r>
      <w:r w:rsidR="00BD4AB0">
        <w:t xml:space="preserve"> </w:t>
      </w:r>
      <w:r w:rsidR="008D108A">
        <w:br/>
      </w:r>
      <w:r w:rsidR="003C06C9" w:rsidRPr="008D108A">
        <w:rPr>
          <w:b w:val="0"/>
          <w:spacing w:val="0"/>
          <w:w w:val="102"/>
          <w:sz w:val="22"/>
          <w:szCs w:val="22"/>
        </w:rPr>
        <w:t xml:space="preserve">T.C. Sağlık Bakanlığı </w:t>
      </w:r>
      <w:r w:rsidR="00BD6A92">
        <w:rPr>
          <w:b w:val="0"/>
          <w:spacing w:val="0"/>
          <w:w w:val="102"/>
          <w:sz w:val="22"/>
          <w:szCs w:val="22"/>
        </w:rPr>
        <w:t>Burdur</w:t>
      </w:r>
      <w:r w:rsidR="003C06C9" w:rsidRPr="008D108A">
        <w:rPr>
          <w:b w:val="0"/>
          <w:spacing w:val="0"/>
          <w:w w:val="102"/>
          <w:sz w:val="22"/>
          <w:szCs w:val="22"/>
        </w:rPr>
        <w:t xml:space="preserve"> İl Sağlık Müdürlüğüne ait bütün bilgi varlıklarını kapsar.</w:t>
      </w:r>
    </w:p>
    <w:p w14:paraId="61453E1B" w14:textId="5F54617A" w:rsidR="003C06C9" w:rsidRPr="008D108A" w:rsidRDefault="003D4468" w:rsidP="00184E4F">
      <w:pPr>
        <w:pStyle w:val="BALIK"/>
        <w:spacing w:line="360" w:lineRule="auto"/>
      </w:pPr>
      <w:r>
        <w:t>UYGULAMA</w:t>
      </w:r>
      <w:r w:rsidRPr="004B4CE0">
        <w:t>:</w:t>
      </w:r>
    </w:p>
    <w:p w14:paraId="386C74A4" w14:textId="77777777" w:rsidR="003C06C9" w:rsidRPr="008D108A" w:rsidRDefault="003C06C9" w:rsidP="00184E4F">
      <w:pPr>
        <w:pStyle w:val="ALTBALIK"/>
        <w:spacing w:line="360" w:lineRule="auto"/>
        <w:rPr>
          <w:b w:val="0"/>
        </w:rPr>
      </w:pPr>
      <w:r w:rsidRPr="008D108A">
        <w:rPr>
          <w:b w:val="0"/>
        </w:rPr>
        <w:t>Evraklar idari ve hukuki hükümlere göre belirlenmiş Evrak Saklama Planı’na uygun olarak muhafaza edilmesi gerekmektedir.</w:t>
      </w:r>
    </w:p>
    <w:p w14:paraId="33C39876" w14:textId="77777777" w:rsidR="003C06C9" w:rsidRPr="008D108A" w:rsidRDefault="003C06C9" w:rsidP="00184E4F">
      <w:pPr>
        <w:pStyle w:val="ALTBALIK"/>
        <w:spacing w:line="360" w:lineRule="auto"/>
        <w:rPr>
          <w:b w:val="0"/>
        </w:rPr>
      </w:pPr>
      <w:r w:rsidRPr="008D108A">
        <w:rPr>
          <w:b w:val="0"/>
        </w:rPr>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14:paraId="71BCBB62" w14:textId="77777777" w:rsidR="003C06C9" w:rsidRPr="008D108A" w:rsidRDefault="003C06C9" w:rsidP="00184E4F">
      <w:pPr>
        <w:pStyle w:val="ALTBALIK"/>
        <w:spacing w:line="360" w:lineRule="auto"/>
        <w:rPr>
          <w:b w:val="0"/>
        </w:rPr>
      </w:pPr>
      <w:r w:rsidRPr="008D108A">
        <w:rPr>
          <w:b w:val="0"/>
        </w:rPr>
        <w:t xml:space="preserve">Bilgi Teknolojilerinin (Disk Storage Veri tabanı </w:t>
      </w:r>
      <w:proofErr w:type="gramStart"/>
      <w:r w:rsidRPr="008D108A">
        <w:rPr>
          <w:b w:val="0"/>
        </w:rPr>
        <w:t>dataları</w:t>
      </w:r>
      <w:proofErr w:type="gramEnd"/>
      <w:r w:rsidRPr="008D108A">
        <w:rPr>
          <w:b w:val="0"/>
        </w:rPr>
        <w:t xml:space="preserve">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14:paraId="706D9A9B" w14:textId="17C1194F" w:rsidR="003C06C9" w:rsidRPr="008D108A" w:rsidRDefault="000E33F7" w:rsidP="00184E4F">
      <w:pPr>
        <w:pStyle w:val="ALTBALIK"/>
        <w:spacing w:line="360" w:lineRule="auto"/>
        <w:rPr>
          <w:b w:val="0"/>
        </w:rPr>
      </w:pPr>
      <w:r w:rsidRPr="008D108A">
        <w:rPr>
          <w:b w:val="0"/>
        </w:rPr>
        <w:t>6698 sayılı kanundan bahsedilmesi gerekir.</w:t>
      </w:r>
    </w:p>
    <w:p w14:paraId="37D11DD3" w14:textId="45BF0A28" w:rsidR="003C06C9" w:rsidRPr="008D108A" w:rsidRDefault="003C06C9" w:rsidP="000E33F7">
      <w:pPr>
        <w:pStyle w:val="ALTBALIK"/>
        <w:spacing w:line="360" w:lineRule="auto"/>
        <w:rPr>
          <w:b w:val="0"/>
        </w:rPr>
      </w:pPr>
      <w:r w:rsidRPr="008D108A">
        <w:rPr>
          <w:b w:val="0"/>
        </w:rPr>
        <w:t xml:space="preserve">Kurum Taşınır kayıt yetkilisi ile beraber </w:t>
      </w:r>
      <w:proofErr w:type="gramStart"/>
      <w:r w:rsidR="000E33F7">
        <w:t>GİS.BG</w:t>
      </w:r>
      <w:proofErr w:type="gramEnd"/>
      <w:r w:rsidR="000E33F7">
        <w:t xml:space="preserve">.FR.03 </w:t>
      </w:r>
      <w:r w:rsidR="000E33F7" w:rsidRPr="000E33F7">
        <w:rPr>
          <w:b w:val="0"/>
        </w:rPr>
        <w:t>formu doldurulur</w:t>
      </w:r>
      <w:r w:rsidR="000E33F7">
        <w:t>.</w:t>
      </w:r>
    </w:p>
    <w:p w14:paraId="6C7208AF" w14:textId="77777777" w:rsidR="003C06C9" w:rsidRPr="008D108A" w:rsidRDefault="003C06C9" w:rsidP="00184E4F">
      <w:pPr>
        <w:pStyle w:val="ALTBALIK"/>
        <w:spacing w:line="360" w:lineRule="auto"/>
        <w:rPr>
          <w:b w:val="0"/>
        </w:rPr>
      </w:pPr>
      <w:r w:rsidRPr="008D108A">
        <w:rPr>
          <w:b w:val="0"/>
        </w:rPr>
        <w:t xml:space="preserve">İmha işlemi gerçekleşecek materyalin özellik ve cinsine göre imha edilecek </w:t>
      </w:r>
      <w:proofErr w:type="spellStart"/>
      <w:r w:rsidRPr="008D108A">
        <w:rPr>
          <w:b w:val="0"/>
        </w:rPr>
        <w:t>lokasyon</w:t>
      </w:r>
      <w:proofErr w:type="spellEnd"/>
      <w:r w:rsidRPr="008D108A">
        <w:rPr>
          <w:b w:val="0"/>
        </w:rPr>
        <w:t xml:space="preserve"> belirlenmelidir.</w:t>
      </w:r>
    </w:p>
    <w:p w14:paraId="6DC40407" w14:textId="77777777" w:rsidR="003C06C9" w:rsidRPr="008D108A" w:rsidRDefault="003C06C9" w:rsidP="00184E4F">
      <w:pPr>
        <w:pStyle w:val="ALTBALIK"/>
        <w:spacing w:line="360" w:lineRule="auto"/>
        <w:rPr>
          <w:b w:val="0"/>
        </w:rPr>
      </w:pPr>
      <w:r w:rsidRPr="008D108A">
        <w:rPr>
          <w:b w:val="0"/>
        </w:rPr>
        <w:t>Uygun şekilde kırılması ve kırılma sürecinden önce veri ünitelerinin adet bilgisi alınacaktır.</w:t>
      </w:r>
    </w:p>
    <w:p w14:paraId="13DB7476" w14:textId="77777777" w:rsidR="003C06C9" w:rsidRPr="008D108A" w:rsidRDefault="003C06C9" w:rsidP="00184E4F">
      <w:pPr>
        <w:pStyle w:val="ALTBALIK"/>
        <w:spacing w:line="360" w:lineRule="auto"/>
        <w:rPr>
          <w:b w:val="0"/>
        </w:rPr>
      </w:pPr>
      <w:r w:rsidRPr="008D108A">
        <w:rPr>
          <w:b w:val="0"/>
        </w:rPr>
        <w:t xml:space="preserve">Yetkilendirilmiş personel tarafından imhası gerçekleşen atıklara </w:t>
      </w:r>
      <w:proofErr w:type="gramStart"/>
      <w:r w:rsidRPr="008D108A">
        <w:rPr>
          <w:b w:val="0"/>
        </w:rPr>
        <w:t>data</w:t>
      </w:r>
      <w:proofErr w:type="gramEnd"/>
      <w:r w:rsidRPr="008D108A">
        <w:rPr>
          <w:b w:val="0"/>
        </w:rPr>
        <w:t xml:space="preserve"> imha tutanağı düzenlenmesi ve bertaraf edilen ürünlerin seri numaraları ve adet bilgisinin data-imha tutanağı düzenlenmelidir.</w:t>
      </w:r>
    </w:p>
    <w:p w14:paraId="650F8657" w14:textId="77777777" w:rsidR="003C06C9" w:rsidRPr="008D108A" w:rsidRDefault="003C06C9" w:rsidP="00184E4F">
      <w:pPr>
        <w:pStyle w:val="ALTBALIK"/>
        <w:spacing w:line="360" w:lineRule="auto"/>
        <w:rPr>
          <w:b w:val="0"/>
        </w:rPr>
      </w:pPr>
      <w:r w:rsidRPr="008D108A">
        <w:rPr>
          <w:b w:val="0"/>
        </w:rPr>
        <w:t>Kırılan parçaların fiziksel muayene ile tamamen tahrip edilip edilmediğinin kontrolü yapılmalıdır.</w:t>
      </w:r>
    </w:p>
    <w:p w14:paraId="1FA1AFA5" w14:textId="77777777" w:rsidR="003C06C9" w:rsidRPr="008D108A" w:rsidRDefault="003C06C9" w:rsidP="000E33F7">
      <w:pPr>
        <w:pStyle w:val="ALTBALIK"/>
        <w:tabs>
          <w:tab w:val="left" w:pos="993"/>
        </w:tabs>
        <w:spacing w:line="360" w:lineRule="auto"/>
        <w:rPr>
          <w:b w:val="0"/>
        </w:rPr>
      </w:pPr>
      <w:r w:rsidRPr="008D108A">
        <w:rPr>
          <w:b w:val="0"/>
        </w:rPr>
        <w:t>Tamamen tahrip edilememiş disk parçalarının delme, kesme makinaları ile kullanılamaz hale getirilmelidir. </w:t>
      </w:r>
    </w:p>
    <w:p w14:paraId="18DBFFF8" w14:textId="77777777" w:rsidR="003C06C9" w:rsidRPr="008D108A" w:rsidRDefault="003C06C9" w:rsidP="000E33F7">
      <w:pPr>
        <w:pStyle w:val="ALTBALIK"/>
        <w:tabs>
          <w:tab w:val="left" w:pos="993"/>
        </w:tabs>
        <w:spacing w:line="360" w:lineRule="auto"/>
        <w:rPr>
          <w:b w:val="0"/>
        </w:rPr>
      </w:pPr>
      <w:r w:rsidRPr="008D108A">
        <w:rPr>
          <w:b w:val="0"/>
        </w:rPr>
        <w:t>Hacimsel küçültme işlemi için parçalanmalıdır.</w:t>
      </w:r>
    </w:p>
    <w:p w14:paraId="756CBA06" w14:textId="707530C5" w:rsidR="00061AFF" w:rsidRPr="0037659D" w:rsidRDefault="003C06C9" w:rsidP="002A4547">
      <w:pPr>
        <w:pStyle w:val="ALTBALIK"/>
        <w:tabs>
          <w:tab w:val="left" w:pos="993"/>
        </w:tabs>
        <w:spacing w:line="360" w:lineRule="auto"/>
      </w:pPr>
      <w:r w:rsidRPr="008D108A">
        <w:rPr>
          <w:b w:val="0"/>
        </w:rPr>
        <w:t>Çıkan metallerin sınıflarına göre ayrılarak, biriktirildikten sonra atık yönetmeliğine uygun olarak imhaya gönderilmelidir.         </w:t>
      </w:r>
    </w:p>
    <w:sectPr w:rsidR="00061AFF"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1377" w14:textId="77777777" w:rsidR="000E4E63" w:rsidRDefault="000E4E63" w:rsidP="001825A3">
      <w:pPr>
        <w:spacing w:after="0" w:line="240" w:lineRule="auto"/>
      </w:pPr>
      <w:r>
        <w:separator/>
      </w:r>
    </w:p>
  </w:endnote>
  <w:endnote w:type="continuationSeparator" w:id="0">
    <w:p w14:paraId="418769BA" w14:textId="77777777" w:rsidR="000E4E63" w:rsidRDefault="000E4E63"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46D3F" w14:textId="77777777" w:rsidR="00E867DC" w:rsidRDefault="00E867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AC72" w14:textId="77777777" w:rsidR="00E867DC" w:rsidRDefault="00E867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C4B28" w14:textId="77777777" w:rsidR="000E4E63" w:rsidRDefault="000E4E63" w:rsidP="001825A3">
      <w:pPr>
        <w:spacing w:after="0" w:line="240" w:lineRule="auto"/>
      </w:pPr>
      <w:r>
        <w:separator/>
      </w:r>
    </w:p>
  </w:footnote>
  <w:footnote w:type="continuationSeparator" w:id="0">
    <w:p w14:paraId="782DE38C" w14:textId="77777777" w:rsidR="000E4E63" w:rsidRDefault="000E4E63"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9D4E" w14:textId="77777777" w:rsidR="00E867DC" w:rsidRDefault="00E867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2022"/>
      <w:gridCol w:w="1905"/>
      <w:gridCol w:w="1875"/>
      <w:gridCol w:w="1895"/>
    </w:tblGrid>
    <w:tr w:rsidR="008B2CAB" w:rsidRPr="00AF0728" w14:paraId="3E10E51E" w14:textId="77777777" w:rsidTr="00524E66">
      <w:trPr>
        <w:trHeight w:val="624"/>
      </w:trPr>
      <w:tc>
        <w:tcPr>
          <w:tcW w:w="1959" w:type="dxa"/>
        </w:tcPr>
        <w:p w14:paraId="45DD4167" w14:textId="77777777" w:rsidR="008B2CAB" w:rsidRPr="00AF0728" w:rsidRDefault="008B2CAB" w:rsidP="008B2CAB">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3FEDE80D" wp14:editId="480F4989">
                <wp:simplePos x="0" y="0"/>
                <wp:positionH relativeFrom="column">
                  <wp:posOffset>134620</wp:posOffset>
                </wp:positionH>
                <wp:positionV relativeFrom="page">
                  <wp:posOffset>137160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906" w:type="dxa"/>
          <w:gridSpan w:val="3"/>
          <w:vAlign w:val="center"/>
        </w:tcPr>
        <w:p w14:paraId="5422EB6D" w14:textId="77777777" w:rsidR="008B2CAB" w:rsidRPr="00940D51" w:rsidRDefault="008B2CAB" w:rsidP="008B2CAB">
          <w:pPr>
            <w:pStyle w:val="stbilgi"/>
            <w:ind w:left="487"/>
            <w:jc w:val="center"/>
            <w:rPr>
              <w:rFonts w:ascii="Arial" w:hAnsi="Arial" w:cs="Arial"/>
              <w:b/>
              <w:sz w:val="16"/>
              <w:szCs w:val="16"/>
            </w:rPr>
          </w:pPr>
        </w:p>
        <w:p w14:paraId="5AAE9AB9" w14:textId="4619C36B" w:rsidR="008B2CAB" w:rsidRDefault="008B2CAB" w:rsidP="008B2CAB">
          <w:pPr>
            <w:pStyle w:val="stbilgi"/>
            <w:ind w:left="487"/>
            <w:jc w:val="center"/>
            <w:rPr>
              <w:rFonts w:ascii="Arial" w:hAnsi="Arial" w:cs="Arial"/>
              <w:b/>
              <w:sz w:val="28"/>
              <w:szCs w:val="28"/>
            </w:rPr>
          </w:pPr>
          <w:r>
            <w:rPr>
              <w:rFonts w:ascii="Arial" w:hAnsi="Arial" w:cs="Arial"/>
              <w:b/>
              <w:sz w:val="28"/>
              <w:szCs w:val="28"/>
            </w:rPr>
            <w:t xml:space="preserve">BİLGİ KAYNAKLARI ATIK VE İMHA </w:t>
          </w:r>
          <w:bookmarkStart w:id="0" w:name="_GoBack"/>
          <w:bookmarkEnd w:id="0"/>
          <w:r>
            <w:rPr>
              <w:rFonts w:ascii="Arial" w:hAnsi="Arial" w:cs="Arial"/>
              <w:b/>
              <w:sz w:val="28"/>
              <w:szCs w:val="28"/>
            </w:rPr>
            <w:t>YÖNETİM PROSEDÜRÜ</w:t>
          </w:r>
        </w:p>
        <w:p w14:paraId="77729B26" w14:textId="77777777" w:rsidR="008B2CAB" w:rsidRPr="00940D51" w:rsidRDefault="008B2CAB" w:rsidP="008B2CAB">
          <w:pPr>
            <w:pStyle w:val="stbilgi"/>
            <w:ind w:left="487"/>
            <w:jc w:val="center"/>
            <w:rPr>
              <w:rFonts w:ascii="Arial" w:hAnsi="Arial" w:cs="Arial"/>
              <w:b/>
              <w:sz w:val="16"/>
              <w:szCs w:val="16"/>
            </w:rPr>
          </w:pPr>
        </w:p>
      </w:tc>
      <w:tc>
        <w:tcPr>
          <w:tcW w:w="1774" w:type="dxa"/>
        </w:tcPr>
        <w:p w14:paraId="02B6E8E2" w14:textId="036C5E1F" w:rsidR="008B2CAB" w:rsidRPr="00AF0728" w:rsidRDefault="002F169B" w:rsidP="008B2CAB">
          <w:pPr>
            <w:pStyle w:val="stbilgi"/>
            <w:rPr>
              <w:rFonts w:ascii="Arial" w:hAnsi="Arial" w:cs="Arial"/>
            </w:rPr>
          </w:pPr>
          <w:r>
            <w:rPr>
              <w:rFonts w:ascii="Arial" w:hAnsi="Arial" w:cs="Arial"/>
              <w:noProof/>
            </w:rPr>
            <w:drawing>
              <wp:inline distT="0" distB="0" distL="0" distR="0" wp14:anchorId="6F638ACC" wp14:editId="69E6C713">
                <wp:extent cx="1114427" cy="111219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427" cy="1112198"/>
                        </a:xfrm>
                        <a:prstGeom prst="rect">
                          <a:avLst/>
                        </a:prstGeom>
                      </pic:spPr>
                    </pic:pic>
                  </a:graphicData>
                </a:graphic>
              </wp:inline>
            </w:drawing>
          </w:r>
        </w:p>
      </w:tc>
    </w:tr>
    <w:tr w:rsidR="008B2CAB" w:rsidRPr="00AF0728" w14:paraId="638265C4" w14:textId="77777777" w:rsidTr="00524E66">
      <w:trPr>
        <w:trHeight w:val="58"/>
      </w:trPr>
      <w:tc>
        <w:tcPr>
          <w:tcW w:w="1959" w:type="dxa"/>
          <w:shd w:val="clear" w:color="auto" w:fill="E2EFD9" w:themeFill="accent6" w:themeFillTint="33"/>
          <w:vAlign w:val="center"/>
        </w:tcPr>
        <w:p w14:paraId="29328086" w14:textId="77777777" w:rsidR="008B2CAB" w:rsidRPr="00AF0728" w:rsidRDefault="008B2CAB" w:rsidP="008B2CAB">
          <w:pPr>
            <w:pStyle w:val="stbilgi"/>
            <w:jc w:val="center"/>
            <w:rPr>
              <w:rFonts w:ascii="Arial" w:hAnsi="Arial" w:cs="Arial"/>
              <w:b/>
            </w:rPr>
          </w:pPr>
          <w:r w:rsidRPr="00AF0728">
            <w:rPr>
              <w:rFonts w:ascii="Arial" w:hAnsi="Arial" w:cs="Arial"/>
              <w:b/>
            </w:rPr>
            <w:t>Kodu</w:t>
          </w:r>
        </w:p>
      </w:tc>
      <w:tc>
        <w:tcPr>
          <w:tcW w:w="2059" w:type="dxa"/>
          <w:shd w:val="clear" w:color="auto" w:fill="E2EFD9" w:themeFill="accent6" w:themeFillTint="33"/>
          <w:vAlign w:val="center"/>
        </w:tcPr>
        <w:p w14:paraId="1179703F" w14:textId="77777777" w:rsidR="008B2CAB" w:rsidRPr="00AF0728" w:rsidRDefault="008B2CAB" w:rsidP="008B2CAB">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936" w:type="dxa"/>
          <w:shd w:val="clear" w:color="auto" w:fill="E2EFD9" w:themeFill="accent6" w:themeFillTint="33"/>
          <w:vAlign w:val="center"/>
        </w:tcPr>
        <w:p w14:paraId="7AD3D303" w14:textId="77777777" w:rsidR="008B2CAB" w:rsidRPr="00AF0728" w:rsidRDefault="008B2CAB" w:rsidP="008B2CAB">
          <w:pPr>
            <w:pStyle w:val="stbilgi"/>
            <w:jc w:val="center"/>
            <w:rPr>
              <w:rFonts w:ascii="Arial" w:hAnsi="Arial" w:cs="Arial"/>
              <w:b/>
            </w:rPr>
          </w:pPr>
          <w:r w:rsidRPr="00AF0728">
            <w:rPr>
              <w:rFonts w:ascii="Arial" w:hAnsi="Arial" w:cs="Arial"/>
              <w:b/>
            </w:rPr>
            <w:t>Revizyon Tarihi</w:t>
          </w:r>
        </w:p>
      </w:tc>
      <w:tc>
        <w:tcPr>
          <w:tcW w:w="1911" w:type="dxa"/>
          <w:shd w:val="clear" w:color="auto" w:fill="E2EFD9" w:themeFill="accent6" w:themeFillTint="33"/>
          <w:vAlign w:val="center"/>
        </w:tcPr>
        <w:p w14:paraId="2B5307C9" w14:textId="77777777" w:rsidR="008B2CAB" w:rsidRPr="00AF0728" w:rsidRDefault="008B2CAB" w:rsidP="008B2CAB">
          <w:pPr>
            <w:pStyle w:val="stbilgi"/>
            <w:jc w:val="center"/>
            <w:rPr>
              <w:rFonts w:ascii="Arial" w:hAnsi="Arial" w:cs="Arial"/>
              <w:b/>
            </w:rPr>
          </w:pPr>
          <w:r w:rsidRPr="00AF0728">
            <w:rPr>
              <w:rFonts w:ascii="Arial" w:hAnsi="Arial" w:cs="Arial"/>
              <w:b/>
            </w:rPr>
            <w:t>Revizyon No</w:t>
          </w:r>
        </w:p>
      </w:tc>
      <w:tc>
        <w:tcPr>
          <w:tcW w:w="1774" w:type="dxa"/>
          <w:shd w:val="clear" w:color="auto" w:fill="E2EFD9" w:themeFill="accent6" w:themeFillTint="33"/>
          <w:vAlign w:val="center"/>
        </w:tcPr>
        <w:p w14:paraId="2B5E80DD" w14:textId="77777777" w:rsidR="008B2CAB" w:rsidRPr="00AF0728" w:rsidRDefault="008B2CAB" w:rsidP="008B2CAB">
          <w:pPr>
            <w:pStyle w:val="stbilgi"/>
            <w:jc w:val="center"/>
            <w:rPr>
              <w:rFonts w:ascii="Arial" w:hAnsi="Arial" w:cs="Arial"/>
              <w:b/>
            </w:rPr>
          </w:pPr>
          <w:r w:rsidRPr="00AF0728">
            <w:rPr>
              <w:rFonts w:ascii="Arial" w:hAnsi="Arial" w:cs="Arial"/>
              <w:b/>
            </w:rPr>
            <w:t>Sayfa</w:t>
          </w:r>
        </w:p>
      </w:tc>
    </w:tr>
    <w:tr w:rsidR="008B2CAB" w:rsidRPr="00AF0728" w14:paraId="04A819AE" w14:textId="77777777" w:rsidTr="00524E66">
      <w:trPr>
        <w:trHeight w:val="58"/>
      </w:trPr>
      <w:tc>
        <w:tcPr>
          <w:tcW w:w="1959" w:type="dxa"/>
          <w:shd w:val="clear" w:color="auto" w:fill="E2EFD9" w:themeFill="accent6" w:themeFillTint="33"/>
          <w:vAlign w:val="center"/>
        </w:tcPr>
        <w:p w14:paraId="1C86F4FC" w14:textId="2B41FAAA" w:rsidR="008B2CAB" w:rsidRPr="00180024" w:rsidRDefault="008B2CAB" w:rsidP="008B2CAB">
          <w:pPr>
            <w:pStyle w:val="stbilgi"/>
            <w:jc w:val="center"/>
            <w:rPr>
              <w:rFonts w:ascii="Arial" w:hAnsi="Arial" w:cs="Arial"/>
              <w:b/>
            </w:rPr>
          </w:pPr>
          <w:proofErr w:type="gramStart"/>
          <w:r w:rsidRPr="00180024">
            <w:rPr>
              <w:rFonts w:ascii="Arial" w:hAnsi="Arial" w:cs="Arial"/>
              <w:b/>
            </w:rPr>
            <w:t>İSM.BG</w:t>
          </w:r>
          <w:proofErr w:type="gramEnd"/>
          <w:r w:rsidRPr="00180024">
            <w:rPr>
              <w:rFonts w:ascii="Arial" w:hAnsi="Arial" w:cs="Arial"/>
              <w:b/>
            </w:rPr>
            <w:t>.P</w:t>
          </w:r>
          <w:r>
            <w:rPr>
              <w:rFonts w:ascii="Arial" w:hAnsi="Arial" w:cs="Arial"/>
              <w:b/>
            </w:rPr>
            <w:t>R</w:t>
          </w:r>
          <w:r w:rsidRPr="00180024">
            <w:rPr>
              <w:rFonts w:ascii="Arial" w:hAnsi="Arial" w:cs="Arial"/>
              <w:b/>
            </w:rPr>
            <w:t>.0</w:t>
          </w:r>
          <w:r>
            <w:rPr>
              <w:rFonts w:ascii="Arial" w:hAnsi="Arial" w:cs="Arial"/>
              <w:b/>
            </w:rPr>
            <w:t>6</w:t>
          </w:r>
        </w:p>
      </w:tc>
      <w:tc>
        <w:tcPr>
          <w:tcW w:w="2059" w:type="dxa"/>
          <w:shd w:val="clear" w:color="auto" w:fill="E2EFD9" w:themeFill="accent6" w:themeFillTint="33"/>
          <w:vAlign w:val="center"/>
        </w:tcPr>
        <w:p w14:paraId="007126CA" w14:textId="77777777" w:rsidR="008B2CAB" w:rsidRPr="00180024" w:rsidRDefault="008B2CAB" w:rsidP="008B2CAB">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936" w:type="dxa"/>
          <w:shd w:val="clear" w:color="auto" w:fill="E2EFD9" w:themeFill="accent6" w:themeFillTint="33"/>
          <w:vAlign w:val="center"/>
        </w:tcPr>
        <w:p w14:paraId="0FE9D28D" w14:textId="77777777" w:rsidR="008B2CAB" w:rsidRPr="00AF0728" w:rsidRDefault="008B2CAB" w:rsidP="008B2CAB">
          <w:pPr>
            <w:pStyle w:val="stbilgi"/>
            <w:jc w:val="center"/>
            <w:rPr>
              <w:rFonts w:ascii="Arial" w:hAnsi="Arial" w:cs="Arial"/>
              <w:b/>
            </w:rPr>
          </w:pPr>
          <w:r>
            <w:rPr>
              <w:rFonts w:ascii="Arial" w:hAnsi="Arial" w:cs="Arial"/>
              <w:b/>
            </w:rPr>
            <w:t>26.11.2019</w:t>
          </w:r>
        </w:p>
      </w:tc>
      <w:tc>
        <w:tcPr>
          <w:tcW w:w="1911" w:type="dxa"/>
          <w:shd w:val="clear" w:color="auto" w:fill="E2EFD9" w:themeFill="accent6" w:themeFillTint="33"/>
          <w:vAlign w:val="center"/>
        </w:tcPr>
        <w:p w14:paraId="183F236C" w14:textId="77777777" w:rsidR="008B2CAB" w:rsidRPr="00AF0728" w:rsidRDefault="008B2CAB" w:rsidP="008B2CAB">
          <w:pPr>
            <w:pStyle w:val="stbilgi"/>
            <w:jc w:val="center"/>
            <w:rPr>
              <w:rFonts w:ascii="Arial" w:hAnsi="Arial" w:cs="Arial"/>
              <w:b/>
            </w:rPr>
          </w:pPr>
          <w:r>
            <w:rPr>
              <w:rFonts w:ascii="Arial" w:hAnsi="Arial" w:cs="Arial"/>
              <w:b/>
            </w:rPr>
            <w:t>1</w:t>
          </w:r>
        </w:p>
      </w:tc>
      <w:tc>
        <w:tcPr>
          <w:tcW w:w="1774" w:type="dxa"/>
          <w:shd w:val="clear" w:color="auto" w:fill="E2EFD9" w:themeFill="accent6" w:themeFillTint="33"/>
          <w:vAlign w:val="center"/>
        </w:tcPr>
        <w:p w14:paraId="493EAE0E" w14:textId="3B0E07F5" w:rsidR="008B2CAB" w:rsidRPr="00AF0728" w:rsidRDefault="008B2CAB" w:rsidP="008B2CAB">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E867DC">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E867DC">
            <w:rPr>
              <w:rFonts w:ascii="Arial" w:hAnsi="Arial" w:cs="Arial"/>
              <w:b/>
              <w:bCs/>
              <w:noProof/>
            </w:rPr>
            <w:t>1</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74F9" w14:textId="77777777" w:rsidR="00E867DC" w:rsidRDefault="00E867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2EF5A70"/>
    <w:multiLevelType w:val="hybridMultilevel"/>
    <w:tmpl w:val="15969654"/>
    <w:lvl w:ilvl="0" w:tplc="9B989E9A">
      <w:start w:val="3"/>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A50EAE"/>
    <w:multiLevelType w:val="hybridMultilevel"/>
    <w:tmpl w:val="1D36FF44"/>
    <w:lvl w:ilvl="0" w:tplc="041F0017">
      <w:start w:val="1"/>
      <w:numFmt w:val="lowerLetter"/>
      <w:lvlText w:val="%1)"/>
      <w:lvlJc w:val="left"/>
      <w:pPr>
        <w:ind w:left="720" w:hanging="360"/>
      </w:pPr>
    </w:lvl>
    <w:lvl w:ilvl="1" w:tplc="87AA1076">
      <w:start w:val="1"/>
      <w:numFmt w:val="lowerLetter"/>
      <w:lvlText w:val="%2."/>
      <w:lvlJc w:val="left"/>
      <w:pPr>
        <w:ind w:left="1440" w:hanging="360"/>
      </w:pPr>
      <w:rPr>
        <w:b/>
      </w:rPr>
    </w:lvl>
    <w:lvl w:ilvl="2" w:tplc="8F8461AA">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4">
    <w:nsid w:val="784F44D5"/>
    <w:multiLevelType w:val="hybridMultilevel"/>
    <w:tmpl w:val="30A8EDD8"/>
    <w:lvl w:ilvl="0" w:tplc="BEC0471A">
      <w:start w:val="1"/>
      <w:numFmt w:val="decimal"/>
      <w:lvlText w:val="%1."/>
      <w:lvlJc w:val="left"/>
      <w:pPr>
        <w:ind w:left="3478" w:hanging="360"/>
      </w:pPr>
      <w:rPr>
        <w:rFonts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2F12BE"/>
    <w:multiLevelType w:val="hybridMultilevel"/>
    <w:tmpl w:val="21041E7C"/>
    <w:lvl w:ilvl="0" w:tplc="C52C9C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E21E4"/>
    <w:rsid w:val="000E33F7"/>
    <w:rsid w:val="000E4E63"/>
    <w:rsid w:val="00112E1F"/>
    <w:rsid w:val="00123538"/>
    <w:rsid w:val="001825A3"/>
    <w:rsid w:val="00184E4F"/>
    <w:rsid w:val="00207BCE"/>
    <w:rsid w:val="0022426E"/>
    <w:rsid w:val="0024012B"/>
    <w:rsid w:val="002F169B"/>
    <w:rsid w:val="00316C73"/>
    <w:rsid w:val="0037659D"/>
    <w:rsid w:val="003C06C9"/>
    <w:rsid w:val="003D4468"/>
    <w:rsid w:val="00414B48"/>
    <w:rsid w:val="0042055A"/>
    <w:rsid w:val="004A40BF"/>
    <w:rsid w:val="004C1E8A"/>
    <w:rsid w:val="004D00BA"/>
    <w:rsid w:val="005A3362"/>
    <w:rsid w:val="005B595E"/>
    <w:rsid w:val="006A3050"/>
    <w:rsid w:val="00743B45"/>
    <w:rsid w:val="007A0C16"/>
    <w:rsid w:val="007D74EE"/>
    <w:rsid w:val="00847BBA"/>
    <w:rsid w:val="008833A6"/>
    <w:rsid w:val="008B2CAB"/>
    <w:rsid w:val="008C690D"/>
    <w:rsid w:val="008D108A"/>
    <w:rsid w:val="008E092E"/>
    <w:rsid w:val="009A69F2"/>
    <w:rsid w:val="009F7B30"/>
    <w:rsid w:val="00A43AFA"/>
    <w:rsid w:val="00AD58BC"/>
    <w:rsid w:val="00B01871"/>
    <w:rsid w:val="00B55B16"/>
    <w:rsid w:val="00B620CA"/>
    <w:rsid w:val="00B7172A"/>
    <w:rsid w:val="00BA262B"/>
    <w:rsid w:val="00BD4AB0"/>
    <w:rsid w:val="00BD6A92"/>
    <w:rsid w:val="00BF7F7C"/>
    <w:rsid w:val="00D035E6"/>
    <w:rsid w:val="00DB2A45"/>
    <w:rsid w:val="00E20915"/>
    <w:rsid w:val="00E65188"/>
    <w:rsid w:val="00E867DC"/>
    <w:rsid w:val="00EF3399"/>
    <w:rsid w:val="00EF6D24"/>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BD6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9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BD6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9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adsm</cp:lastModifiedBy>
  <cp:revision>2</cp:revision>
  <dcterms:created xsi:type="dcterms:W3CDTF">2020-07-01T06:02:00Z</dcterms:created>
  <dcterms:modified xsi:type="dcterms:W3CDTF">2020-07-01T06:02:00Z</dcterms:modified>
</cp:coreProperties>
</file>